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rFonts w:hint="eastAsia"/>
          <w:b/>
          <w:bCs/>
          <w:sz w:val="28"/>
          <w:szCs w:val="28"/>
        </w:rPr>
        <w:t>附件：</w:t>
      </w:r>
    </w:p>
    <w:p>
      <w:pPr>
        <w:jc w:val="center"/>
        <w:rPr>
          <w:b/>
          <w:bCs/>
          <w:sz w:val="28"/>
          <w:szCs w:val="28"/>
        </w:rPr>
      </w:pPr>
      <w:r>
        <w:rPr>
          <w:rFonts w:hint="eastAsia"/>
          <w:b/>
          <w:bCs/>
          <w:sz w:val="28"/>
          <w:szCs w:val="28"/>
        </w:rPr>
        <w:t>第九届江西省“互联网+”大学生创新创业大赛项目参数</w:t>
      </w:r>
    </w:p>
    <w:tbl>
      <w:tblPr>
        <w:tblStyle w:val="4"/>
        <w:tblW w:w="105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110"/>
        <w:gridCol w:w="7158"/>
        <w:gridCol w:w="411"/>
        <w:gridCol w:w="1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35" w:hRule="atLeast"/>
          <w:jc w:val="center"/>
        </w:trPr>
        <w:tc>
          <w:tcPr>
            <w:tcW w:w="430"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序号</w:t>
            </w:r>
          </w:p>
        </w:tc>
        <w:tc>
          <w:tcPr>
            <w:tcW w:w="1110"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名称</w:t>
            </w:r>
          </w:p>
        </w:tc>
        <w:tc>
          <w:tcPr>
            <w:tcW w:w="7158"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参数</w:t>
            </w:r>
          </w:p>
        </w:tc>
        <w:tc>
          <w:tcPr>
            <w:tcW w:w="411"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数量</w:t>
            </w:r>
          </w:p>
        </w:tc>
        <w:tc>
          <w:tcPr>
            <w:tcW w:w="1425" w:type="dxa"/>
            <w:tcBorders>
              <w:tl2br w:val="nil"/>
              <w:tr2bl w:val="nil"/>
            </w:tcBorders>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84" w:hRule="atLeast"/>
          <w:jc w:val="center"/>
        </w:trPr>
        <w:tc>
          <w:tcPr>
            <w:tcW w:w="430"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1110"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视频制作</w:t>
            </w:r>
          </w:p>
        </w:tc>
        <w:tc>
          <w:tcPr>
            <w:tcW w:w="7158" w:type="dxa"/>
            <w:tcBorders>
              <w:tl2br w:val="nil"/>
              <w:tr2bl w:val="nil"/>
            </w:tcBorders>
            <w:shd w:val="clear" w:color="auto" w:fill="auto"/>
            <w:noWrap/>
          </w:tcPr>
          <w:p>
            <w:pPr>
              <w:rPr>
                <w:b/>
                <w:bCs/>
              </w:rPr>
            </w:pPr>
            <w:r>
              <w:rPr>
                <w:rFonts w:hint="eastAsia"/>
                <w:b/>
                <w:bCs/>
              </w:rPr>
              <w:t xml:space="preserve">一、视频分辨率: </w:t>
            </w:r>
          </w:p>
          <w:p>
            <w:pPr>
              <w:ind w:firstLine="420" w:firstLineChars="200"/>
            </w:pPr>
            <w:r>
              <w:rPr>
                <w:rFonts w:hint="eastAsia"/>
              </w:rPr>
              <w:t>1. 分辨率为1920x1080像素（全高清），是目前广泛使用的标准高清分辨率。它提供清晰度和细节丰富度，适合在各种平台上播放。</w:t>
            </w:r>
          </w:p>
          <w:p>
            <w:pPr>
              <w:rPr>
                <w:b/>
                <w:bCs/>
              </w:rPr>
            </w:pPr>
            <w:r>
              <w:rPr>
                <w:rFonts w:hint="eastAsia"/>
                <w:b/>
                <w:bCs/>
              </w:rPr>
              <w:t xml:space="preserve">二、宣传片格式: </w:t>
            </w:r>
          </w:p>
          <w:p>
            <w:pPr>
              <w:ind w:firstLine="420" w:firstLineChars="200"/>
            </w:pPr>
            <w:r>
              <w:rPr>
                <w:rFonts w:hint="eastAsia"/>
              </w:rPr>
              <w:t>1. 视频格式：MP4（MPEG-4）是一种常见的视频格式，广泛支持于各种平台和设备上播放。</w:t>
            </w:r>
          </w:p>
          <w:p>
            <w:pPr>
              <w:ind w:firstLine="420" w:firstLineChars="200"/>
            </w:pPr>
            <w:r>
              <w:rPr>
                <w:rFonts w:hint="eastAsia"/>
              </w:rPr>
              <w:t>2. 帧率：标准的视频帧率是30帧/秒（fps），这通常提供流畅的视频播放体验。如果您需要更高的流畅度或特殊效果，可以考虑选择更高的帧率，如60帧/秒。</w:t>
            </w:r>
          </w:p>
          <w:p>
            <w:pPr>
              <w:ind w:firstLine="420" w:firstLineChars="200"/>
            </w:pPr>
            <w:r>
              <w:t xml:space="preserve">3. </w:t>
            </w:r>
            <w:r>
              <w:rPr>
                <w:rFonts w:hint="eastAsia"/>
              </w:rPr>
              <w:t>视频编码：选择适当的视频编码是确保视频文件大小合理且播放流畅的关键。常见的视频编码包括H.264和H.265（也称为HEVC）。这些编码格式提供了高效的压缩和良好的视频质量。</w:t>
            </w:r>
          </w:p>
          <w:p>
            <w:pPr>
              <w:ind w:firstLine="420" w:firstLineChars="200"/>
            </w:pPr>
            <w:r>
              <w:t xml:space="preserve">4. </w:t>
            </w:r>
            <w:r>
              <w:rPr>
                <w:rFonts w:hint="eastAsia"/>
              </w:rPr>
              <w:t>比特率：比特率是视频的数据传输速率，影响视频的清晰度和文件大小。较高的比特率通常会提供更好的视频质量，但也会增加文件大小。根据视频的需求和平台要求，遵循其建议和指南选择适当的比特率。</w:t>
            </w:r>
          </w:p>
          <w:p>
            <w:pPr>
              <w:rPr>
                <w:b/>
                <w:bCs/>
              </w:rPr>
            </w:pPr>
            <w:r>
              <w:rPr>
                <w:rFonts w:hint="eastAsia"/>
                <w:b/>
                <w:bCs/>
              </w:rPr>
              <w:t xml:space="preserve">三、拍摄设备: </w:t>
            </w:r>
          </w:p>
          <w:p>
            <w:pPr>
              <w:ind w:firstLine="420" w:firstLineChars="200"/>
            </w:pPr>
            <w:r>
              <w:rPr>
                <w:rFonts w:hint="eastAsia"/>
              </w:rPr>
              <w:t>1.</w:t>
            </w:r>
            <w:r>
              <w:t>专业摄像机：专业摄像机通常具有高分辨率、多种拍摄模式和手动控制功能，能够提供更高质量的图像和视频。</w:t>
            </w:r>
          </w:p>
          <w:p>
            <w:pPr>
              <w:ind w:firstLine="420" w:firstLineChars="200"/>
            </w:pPr>
            <w:r>
              <w:rPr>
                <w:rFonts w:hint="eastAsia"/>
              </w:rPr>
              <w:t>2.</w:t>
            </w:r>
            <w:r>
              <w:t>无人机：无人机（也称为航拍机）能够提供独特的视角和飞行拍摄效果。它们可以在空中进行平移、旋转和高度变化，捕捉到难以通过传统摄像机获得的鸟瞰或追踪镜头。无人机品牌DJI。</w:t>
            </w:r>
          </w:p>
          <w:p>
            <w:pPr>
              <w:ind w:firstLine="420" w:firstLineChars="200"/>
            </w:pPr>
            <w:r>
              <w:rPr>
                <w:rFonts w:hint="eastAsia"/>
              </w:rPr>
              <w:t>3.</w:t>
            </w:r>
            <w:r>
              <w:t>手持稳定器：手持稳定器DJI Osmo可以在移动拍摄时提供平稳的画面，减少晃动和抖动。这对于行走、跑动或跟随运动的拍摄场景非常有用。</w:t>
            </w:r>
          </w:p>
          <w:p>
            <w:pPr>
              <w:rPr>
                <w:b/>
                <w:bCs/>
              </w:rPr>
            </w:pPr>
            <w:r>
              <w:rPr>
                <w:rFonts w:hint="eastAsia"/>
                <w:b/>
                <w:bCs/>
              </w:rPr>
              <w:t xml:space="preserve">四、拍摄角度和技术: </w:t>
            </w:r>
          </w:p>
          <w:p>
            <w:pPr>
              <w:ind w:firstLine="420" w:firstLineChars="200"/>
            </w:pPr>
            <w:r>
              <w:rPr>
                <w:rFonts w:hint="eastAsia"/>
              </w:rPr>
              <w:t>1.</w:t>
            </w:r>
            <w:r>
              <w:t>高空俯视角度：通过使用无人机或摄像机架设在高处，可以捕捉到整体的场景，展示宏大的氛围和景观。</w:t>
            </w:r>
          </w:p>
          <w:p>
            <w:pPr>
              <w:ind w:firstLine="420" w:firstLineChars="200"/>
            </w:pPr>
            <w:r>
              <w:rPr>
                <w:rFonts w:hint="eastAsia"/>
              </w:rPr>
              <w:t>2.</w:t>
            </w:r>
            <w:r>
              <w:t>运动镜头：使用稳定器、跟踪器或运动摄影设备，拍摄动态的镜头，增加视觉冲击力和活力。</w:t>
            </w:r>
          </w:p>
          <w:p>
            <w:pPr>
              <w:ind w:firstLine="420" w:firstLineChars="200"/>
            </w:pPr>
            <w:r>
              <w:rPr>
                <w:rFonts w:hint="eastAsia"/>
              </w:rPr>
              <w:t>3.</w:t>
            </w:r>
            <w:r>
              <w:t>前景景深：利用前景物体或景观来增加镜头的层次感和逼真度，营造出更加丰富的画面效果。</w:t>
            </w:r>
          </w:p>
          <w:p>
            <w:pPr>
              <w:ind w:firstLine="420" w:firstLineChars="200"/>
            </w:pPr>
            <w:r>
              <w:rPr>
                <w:rFonts w:hint="eastAsia"/>
              </w:rPr>
              <w:t>4.</w:t>
            </w:r>
            <w:r>
              <w:t>广角镜头：使用广角镜头可以捕捉更广阔的视野，展示宽广的场景和环境。</w:t>
            </w:r>
          </w:p>
          <w:p>
            <w:pPr>
              <w:ind w:firstLine="420" w:firstLineChars="200"/>
            </w:pPr>
            <w:r>
              <w:rPr>
                <w:rFonts w:hint="eastAsia"/>
              </w:rPr>
              <w:t>5.</w:t>
            </w:r>
            <w:r>
              <w:t>追焦镜头：通过调整焦距和焦点来突出主题，将观众的注意力集中在关键元素上。</w:t>
            </w:r>
          </w:p>
          <w:p>
            <w:pPr>
              <w:ind w:firstLine="420" w:firstLineChars="200"/>
            </w:pPr>
            <w:r>
              <w:rPr>
                <w:rFonts w:hint="eastAsia"/>
              </w:rPr>
              <w:t>6.</w:t>
            </w:r>
            <w:r>
              <w:t>慢动作：使用高帧率摄影或后期处理技术，将某些镜头放慢，创造出流畅而戏剧化的效果。</w:t>
            </w:r>
          </w:p>
          <w:p>
            <w:pPr>
              <w:ind w:firstLine="420" w:firstLineChars="200"/>
            </w:pPr>
            <w:r>
              <w:rPr>
                <w:rFonts w:hint="eastAsia"/>
              </w:rPr>
              <w:t>7.</w:t>
            </w:r>
            <w:r>
              <w:t>时间流逝：通过加速拍摄或延长拍摄时间，捕捉到变化和发展的过程，呈现出时间的流逝和事物的变化。</w:t>
            </w:r>
          </w:p>
          <w:p>
            <w:pPr>
              <w:ind w:firstLine="420" w:firstLineChars="200"/>
            </w:pPr>
            <w:r>
              <w:rPr>
                <w:rFonts w:hint="eastAsia"/>
              </w:rPr>
              <w:t>8.</w:t>
            </w:r>
            <w:r>
              <w:t>聚焦细节：通过近距离拍摄或特写镜头，突出产品、人物或细节，展示其独特之处和精细工艺。</w:t>
            </w:r>
          </w:p>
          <w:p>
            <w:pPr>
              <w:ind w:firstLine="420" w:firstLineChars="200"/>
            </w:pPr>
            <w:r>
              <w:rPr>
                <w:rFonts w:hint="eastAsia"/>
              </w:rPr>
              <w:t>9.</w:t>
            </w:r>
            <w:r>
              <w:t>切换镜头：使用不同的拍摄角度和镜头来切换画面，增加视觉变化和吸引力。</w:t>
            </w:r>
          </w:p>
          <w:p>
            <w:pPr>
              <w:ind w:firstLine="420" w:firstLineChars="200"/>
            </w:pPr>
            <w:r>
              <w:rPr>
                <w:rFonts w:hint="eastAsia"/>
              </w:rPr>
              <w:t>10.</w:t>
            </w:r>
            <w:r>
              <w:t>合成特效：利用后期制作技术，添加动画、特效或图形，增强视觉效果和创意表达。</w:t>
            </w:r>
          </w:p>
          <w:p>
            <w:pPr>
              <w:rPr>
                <w:b/>
                <w:bCs/>
              </w:rPr>
            </w:pPr>
            <w:r>
              <w:rPr>
                <w:rFonts w:hint="eastAsia"/>
                <w:b/>
                <w:bCs/>
              </w:rPr>
              <w:t xml:space="preserve">五、音频要求: </w:t>
            </w:r>
          </w:p>
          <w:p>
            <w:pPr>
              <w:ind w:firstLine="420" w:firstLineChars="200"/>
            </w:pPr>
            <w:r>
              <w:rPr>
                <w:rFonts w:hint="eastAsia"/>
              </w:rPr>
              <w:t>1.</w:t>
            </w:r>
            <w:r>
              <w:t>高质量音频录制：确保音频录制清晰、无杂音，并具有良好的音频平衡和音质。使用专业的麦克风和录音设备进行录制，以获得最佳的音频效果。</w:t>
            </w:r>
          </w:p>
          <w:p>
            <w:pPr>
              <w:ind w:firstLine="420" w:firstLineChars="200"/>
            </w:pPr>
            <w:r>
              <w:rPr>
                <w:rFonts w:hint="eastAsia"/>
              </w:rPr>
              <w:t>2.</w:t>
            </w:r>
            <w:r>
              <w:t>背景音乐：选择适合宣传片氛围和内容的背景音乐。背景音乐应与宣传片的情绪和风格相匹配，并能够吸引观众的注意力，同时不干扰对话或主要音频内容。</w:t>
            </w:r>
          </w:p>
          <w:p>
            <w:pPr>
              <w:ind w:firstLine="420" w:firstLineChars="200"/>
            </w:pPr>
            <w:r>
              <w:rPr>
                <w:rFonts w:hint="eastAsia"/>
              </w:rPr>
              <w:t>3.</w:t>
            </w:r>
            <w:r>
              <w:t>音频混合：进行适当的音频混合和后期处理，确保音乐、对话和其他音效的平衡和协调。调整音量、音色和音频效果，以实现最佳的听觉效果。</w:t>
            </w:r>
          </w:p>
          <w:p>
            <w:pPr>
              <w:ind w:firstLine="420" w:firstLineChars="200"/>
            </w:pPr>
            <w:r>
              <w:rPr>
                <w:rFonts w:hint="eastAsia"/>
              </w:rPr>
              <w:t>4.</w:t>
            </w:r>
            <w:r>
              <w:t>音频效果和声音设计：根据需要，添加合适的音频效果和声音设计元素，以增强宣传片的视听体验。例如，使用环境音效、声音过渡效果或声音增强，以营造特定的氛围和情感效果。</w:t>
            </w:r>
          </w:p>
          <w:p>
            <w:pPr>
              <w:ind w:firstLine="420" w:firstLineChars="200"/>
            </w:pPr>
            <w:r>
              <w:rPr>
                <w:rFonts w:hint="eastAsia"/>
              </w:rPr>
              <w:t>5.</w:t>
            </w:r>
            <w:r>
              <w:t>音频版权和授权：确保使用的音乐、声效和其他音频素材符合版权规定，并获得合法的授权。避免使用未经授权的音频素材，以避免版权纠纷。</w:t>
            </w:r>
          </w:p>
          <w:p>
            <w:pPr>
              <w:rPr>
                <w:b/>
                <w:bCs/>
              </w:rPr>
            </w:pPr>
            <w:r>
              <w:rPr>
                <w:rFonts w:hint="eastAsia"/>
                <w:b/>
                <w:bCs/>
              </w:rPr>
              <w:t xml:space="preserve">六、图形和动画效果: </w:t>
            </w:r>
          </w:p>
          <w:p>
            <w:pPr>
              <w:ind w:firstLine="420" w:firstLineChars="200"/>
            </w:pPr>
            <w:r>
              <w:rPr>
                <w:rFonts w:hint="eastAsia"/>
              </w:rPr>
              <w:t>1.片头</w:t>
            </w:r>
            <w:r>
              <w:t>：使用吸引人的标题和字幕来引起观众的注意，并突出宣传片的关键信息。可以运用不同的字体、颜色和动画效果，使标题和字幕更加生动有力。</w:t>
            </w:r>
          </w:p>
          <w:p>
            <w:pPr>
              <w:ind w:firstLine="420" w:firstLineChars="200"/>
            </w:pPr>
            <w:r>
              <w:rPr>
                <w:rFonts w:hint="eastAsia"/>
              </w:rPr>
              <w:t>2.</w:t>
            </w:r>
            <w:r>
              <w:t>过渡效果：使用平滑的过渡效果来切换不同场景或画面，增加观看体验的连贯性和流畅感。常见的过渡效果包括淡入淡出、切换、擦除、旋转等，可以根据宣传片的风格和主题进行选择。</w:t>
            </w:r>
          </w:p>
          <w:p>
            <w:pPr>
              <w:ind w:firstLine="420" w:firstLineChars="200"/>
            </w:pPr>
            <w:r>
              <w:rPr>
                <w:rFonts w:hint="eastAsia"/>
              </w:rPr>
              <w:t>3.</w:t>
            </w:r>
            <w:r>
              <w:t>图形元素和图标：添加图形元素和图标来补充宣传片的内容。这些图形元素可以是统计数据、符号、图表或其他视觉化工具，帮助观众更好地理解和记忆宣传片中的信息。</w:t>
            </w:r>
          </w:p>
          <w:p>
            <w:pPr>
              <w:ind w:firstLine="420" w:firstLineChars="200"/>
            </w:pPr>
            <w:r>
              <w:rPr>
                <w:rFonts w:hint="eastAsia"/>
              </w:rPr>
              <w:t>4.</w:t>
            </w:r>
            <w:r>
              <w:t>动画效果：使用动画效果来使图形元素和图标动起来，增加视觉吸引力。可以运用缩放、移动、旋转、淡入淡出等动画效果，为静态图像带来生动感和活力。</w:t>
            </w:r>
          </w:p>
          <w:p>
            <w:pPr>
              <w:ind w:firstLine="420" w:firstLineChars="200"/>
            </w:pPr>
            <w:r>
              <w:rPr>
                <w:rFonts w:hint="eastAsia"/>
              </w:rPr>
              <w:t>5.</w:t>
            </w:r>
            <w:r>
              <w:t>视频合成：将不同的图像、视频片段和图形元素合成在一起，创造出更复杂和独特的视觉效果。视频合成技术可以帮助制作宣传片中的特殊效果和场景转换。</w:t>
            </w:r>
          </w:p>
          <w:p>
            <w:pPr>
              <w:ind w:firstLine="420" w:firstLineChars="200"/>
            </w:pPr>
            <w:r>
              <w:rPr>
                <w:rFonts w:hint="eastAsia"/>
              </w:rPr>
              <w:t>6.</w:t>
            </w:r>
            <w:r>
              <w:t>特殊效果和3D动画：根据需要，使用特殊效果和3D动画来增加宣传片的视觉冲击力和创意性。这包括粒子效果、光线效果、模拟物理运动等，可以使宣传片更具现代感和高级感。</w:t>
            </w:r>
          </w:p>
          <w:p>
            <w:pPr>
              <w:rPr>
                <w:b/>
                <w:bCs/>
              </w:rPr>
            </w:pPr>
            <w:r>
              <w:rPr>
                <w:rFonts w:hint="eastAsia"/>
                <w:b/>
                <w:bCs/>
              </w:rPr>
              <w:t xml:space="preserve">七、色彩和调色: </w:t>
            </w:r>
          </w:p>
          <w:p>
            <w:pPr>
              <w:ind w:firstLine="210" w:firstLineChars="100"/>
            </w:pPr>
            <w:r>
              <w:t>宣传片的色彩和调色是影响观众情感和印象的重要因素之一。考虑宣传片的目标受众和所传达的信息。合理运用色彩和调色可以帮助塑造宣传片的氛围和情感，增强观众的注意力和情感</w:t>
            </w:r>
            <w:r>
              <w:rPr>
                <w:rFonts w:hint="eastAsia"/>
              </w:rPr>
              <w:t>。</w:t>
            </w:r>
          </w:p>
          <w:p>
            <w:pPr>
              <w:ind w:firstLine="420" w:firstLineChars="200"/>
            </w:pPr>
            <w:r>
              <w:rPr>
                <w:rFonts w:hint="eastAsia"/>
              </w:rPr>
              <w:t>1.</w:t>
            </w:r>
            <w:r>
              <w:t>品牌一致性：品牌标志、标准色彩和设计风格。在宣传片中使用品牌标志的颜色和相关的色彩调和方案，可以加强品牌认知度和一致性。</w:t>
            </w:r>
          </w:p>
          <w:p>
            <w:pPr>
              <w:ind w:firstLine="420" w:firstLineChars="200"/>
            </w:pPr>
            <w:r>
              <w:rPr>
                <w:rFonts w:hint="eastAsia"/>
              </w:rPr>
              <w:t>2.</w:t>
            </w:r>
            <w:r>
              <w:t>情感表达：不同的色彩可以唤起不同的情感和心理反应。例如，明亮的颜色如红色和橙色可以传达活力和激情，蓝色和绿色可以传达冷静和安宁，黄色和橙色可以传达温暖和快乐。根据宣传片的主题和目标情感，选择相应的色彩和调色方案，以引起观众的情感共鸣。</w:t>
            </w:r>
          </w:p>
          <w:p>
            <w:pPr>
              <w:ind w:firstLine="420" w:firstLineChars="200"/>
            </w:pPr>
            <w:r>
              <w:rPr>
                <w:rFonts w:hint="eastAsia"/>
              </w:rPr>
              <w:t>3.</w:t>
            </w:r>
            <w:r>
              <w:t>色彩对比：使用色彩对比可以增加视觉冲击力和吸引力。对比可以通过明暗对比、色彩对立或冷暖色彩之间的对比来实现。合理运用对比可以帮助突出关键信息、引导观众的视线，并提供视觉层次感。</w:t>
            </w:r>
          </w:p>
          <w:p>
            <w:pPr>
              <w:ind w:firstLine="420" w:firstLineChars="200"/>
            </w:pPr>
            <w:r>
              <w:rPr>
                <w:rFonts w:hint="eastAsia"/>
              </w:rPr>
              <w:t>4.</w:t>
            </w:r>
            <w:r>
              <w:t>调色风格：选择适合宣传片风格和主题的调色方案。冷色调（如蓝色、绿色）可以传达专业、科技或冷静的氛围，而暖色调（如橙色、红色）可以传达温暖、活力或情感。此外，也可以考虑使用黑白灰调色方案或特定的色彩滤镜来创造特殊的氛围和风格。</w:t>
            </w:r>
          </w:p>
          <w:p>
            <w:pPr>
              <w:ind w:firstLine="420" w:firstLineChars="200"/>
              <w:rPr>
                <w:rFonts w:ascii="宋体" w:hAnsi="宋体"/>
                <w:color w:val="000000" w:themeColor="text1"/>
                <w:szCs w:val="21"/>
                <w14:textFill>
                  <w14:solidFill>
                    <w14:schemeClr w14:val="tx1"/>
                  </w14:solidFill>
                </w14:textFill>
              </w:rPr>
            </w:pPr>
            <w:r>
              <w:rPr>
                <w:rFonts w:hint="eastAsia"/>
              </w:rPr>
              <w:t>5.</w:t>
            </w:r>
            <w:r>
              <w:t>注意色彩平衡：确保宣传片中的色彩平衡和和谐。过多或过少的某种颜色可能会导致视觉上的不平衡或混乱。在选择色彩时，要考虑场景、背景和人物的色彩，以及宣传片的整体视觉效果。</w:t>
            </w:r>
          </w:p>
        </w:tc>
        <w:tc>
          <w:tcPr>
            <w:tcW w:w="411"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p>
        </w:tc>
        <w:tc>
          <w:tcPr>
            <w:tcW w:w="1425" w:type="dxa"/>
            <w:tcBorders>
              <w:tl2br w:val="nil"/>
              <w:tr2bl w:val="nil"/>
            </w:tcBorders>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1、安安科技——公里级智能预警管家</w:t>
            </w:r>
          </w:p>
          <w:p>
            <w:pPr>
              <w:pStyle w:val="3"/>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、银龄卫士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0" w:hRule="atLeast"/>
          <w:jc w:val="center"/>
        </w:trPr>
        <w:tc>
          <w:tcPr>
            <w:tcW w:w="430"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p>
        </w:tc>
        <w:tc>
          <w:tcPr>
            <w:tcW w:w="1110"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s="宋体"/>
                <w:sz w:val="24"/>
              </w:rPr>
              <w:t>PPT制作及创业计划指导</w:t>
            </w:r>
          </w:p>
        </w:tc>
        <w:tc>
          <w:tcPr>
            <w:tcW w:w="7158" w:type="dxa"/>
            <w:tcBorders>
              <w:tl2br w:val="nil"/>
              <w:tr2bl w:val="nil"/>
            </w:tcBorders>
            <w:shd w:val="clear" w:color="auto" w:fill="auto"/>
            <w:noWrap/>
          </w:tcPr>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建立项目素材库:</w:t>
            </w:r>
            <w:r>
              <w:rPr>
                <w:rFonts w:hint="eastAsia"/>
                <w:lang w:eastAsia="zh-CN"/>
              </w:rPr>
              <w:t xml:space="preserve"> </w:t>
            </w:r>
            <w:r>
              <w:rPr>
                <w:rFonts w:hint="eastAsia" w:ascii="宋体" w:hAnsi="宋体"/>
                <w:color w:val="000000" w:themeColor="text1"/>
                <w:szCs w:val="21"/>
                <w:lang w:eastAsia="zh-CN"/>
                <w14:textFill>
                  <w14:solidFill>
                    <w14:schemeClr w14:val="tx1"/>
                  </w14:solidFill>
                </w14:textFill>
              </w:rPr>
              <w:t>调研收集学校专利及相关课题论文，建立项目素材库，为项目挖掘打下基础</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资源梳理：召集学校创新创业老师梳理优势学科及相关资源，结合大赛特征和趋势，总结亮点，打造基础项目库</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项目研讨会：学校召集企业、校友及相关部门领导针对企业需求，结合资源优势进行讨论，梳理项目库</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项目概要打磨：指导项目团队总结凝练项目四大核心亮点</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列出项目所需素材材料：指导项目团队根据项目概要列出项目所需素材展示关键点、相关数据等</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项目定位确定：专家指导团队梳理并完善项目的定位，确定参赛赛道和组别</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项目股权架构：根据大赛要求进行合理的股权分配，确保项目股权分配无重大过失</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项目市场分析：包括行业分析、市场规模分析、细分市场分析、竞品分析等</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项目痛点深挖：帮助项目深挖痛点，让痛点更痛，用户需求更强</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项目产品打磨：包括产品特色优势梳理、产品迭代方向确定，产品价值包装等</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项目产品应用场景：梳理项目产品使用时间、空间、社交及用户情绪等多个方面因素，帮助项目产品销售</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商业（公益）模式梳理：专家指导团队梳理项目的商业模式或者公益扶贫模式，形成图示和匹配的文字介绍</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盈利模式梳理：重点提高项目的盈利能力，打造更落地、可行的盈利模式</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项目团队梳理及架构：梳理学生、指导老师、顾问团成员的情况及分工；展示团队成员优势</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产品-市场-渠道的闭环模式打造：帮助项目梳理三位一体闭环模式</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项目落地商业模式辅导：推动项目落地，体现项目落地性、真实性</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项目规划辅导：帮助项目完成可操作、可落地、可实施的3年具体规划</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项目商业数据规划辅导：帮助项目梳理路演展示数据，让项目价值更直观，数据表现力更强</w:t>
            </w:r>
          </w:p>
          <w:p>
            <w:pPr>
              <w:pStyle w:val="6"/>
              <w:numPr>
                <w:ilvl w:val="0"/>
                <w:numId w:val="1"/>
              </w:numPr>
              <w:spacing w:after="0" w:line="240" w:lineRule="auto"/>
              <w:rPr>
                <w:rFonts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项目路演辅导：打磨项目路演稿，让项目路演展示更具吸引力和表现力，同时进行多次模拟路演。</w:t>
            </w:r>
          </w:p>
          <w:p>
            <w:pPr>
              <w:pStyle w:val="6"/>
              <w:numPr>
                <w:ilvl w:val="0"/>
                <w:numId w:val="1"/>
              </w:numPr>
              <w:spacing w:after="0" w:line="240" w:lineRule="auto"/>
              <w:rPr>
                <w:rFonts w:hint="eastAsia" w:ascii="宋体" w:hAnsi="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项目答辩辅导：梳理项目常见答辩问题库，辅导项目团队模拟答辩</w:t>
            </w:r>
          </w:p>
        </w:tc>
        <w:tc>
          <w:tcPr>
            <w:tcW w:w="411"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p>
        </w:tc>
        <w:tc>
          <w:tcPr>
            <w:tcW w:w="1425" w:type="dxa"/>
            <w:tcBorders>
              <w:tl2br w:val="nil"/>
              <w:tr2bl w:val="nil"/>
            </w:tcBorders>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1、安安科技——公里级智能预警管家</w:t>
            </w:r>
          </w:p>
          <w:p>
            <w:pPr>
              <w:widowControl/>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、银龄卫士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0" w:hRule="atLeast"/>
          <w:jc w:val="center"/>
        </w:trPr>
        <w:tc>
          <w:tcPr>
            <w:tcW w:w="430"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w:t>
            </w:r>
          </w:p>
        </w:tc>
        <w:tc>
          <w:tcPr>
            <w:tcW w:w="1110" w:type="dxa"/>
            <w:tcBorders>
              <w:tl2br w:val="nil"/>
              <w:tr2bl w:val="nil"/>
            </w:tcBorders>
            <w:shd w:val="clear" w:color="auto" w:fill="auto"/>
            <w:noWrap/>
            <w:vAlign w:val="center"/>
          </w:tcPr>
          <w:p>
            <w:pPr>
              <w:widowControl/>
              <w:spacing w:line="400" w:lineRule="exact"/>
              <w:jc w:val="center"/>
              <w:rPr>
                <w:rFonts w:ascii="宋体" w:hAnsi="宋体" w:cs="宋体"/>
                <w:sz w:val="24"/>
              </w:rPr>
            </w:pPr>
            <w:r>
              <w:rPr>
                <w:rFonts w:hint="eastAsia" w:ascii="宋体" w:hAnsi="宋体" w:cs="宋体"/>
                <w:sz w:val="24"/>
              </w:rPr>
              <w:t>参赛服装</w:t>
            </w:r>
          </w:p>
        </w:tc>
        <w:tc>
          <w:tcPr>
            <w:tcW w:w="7158" w:type="dxa"/>
            <w:tcBorders>
              <w:tl2br w:val="nil"/>
              <w:tr2bl w:val="nil"/>
            </w:tcBorders>
            <w:shd w:val="clear" w:color="auto" w:fill="auto"/>
            <w:noWrap/>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1.正装白色短袖衬衫，材质成分：棉1</w:t>
            </w:r>
            <w:r>
              <w:rPr>
                <w:rFonts w:ascii="宋体" w:hAnsi="宋体"/>
                <w:color w:val="000000" w:themeColor="text1"/>
                <w:szCs w:val="21"/>
                <w14:textFill>
                  <w14:solidFill>
                    <w14:schemeClr w14:val="tx1"/>
                  </w14:solidFill>
                </w14:textFill>
              </w:rPr>
              <w:t>00</w:t>
            </w:r>
            <w:r>
              <w:rPr>
                <w:rFonts w:hint="eastAsia" w:ascii="宋体" w:hAnsi="宋体"/>
                <w:color w:val="000000" w:themeColor="text1"/>
                <w:szCs w:val="21"/>
                <w14:textFill>
                  <w14:solidFill>
                    <w14:schemeClr w14:val="tx1"/>
                  </w14:solidFill>
                </w14:textFill>
              </w:rPr>
              <w:t>%</w:t>
            </w:r>
          </w:p>
          <w:p>
            <w:pPr>
              <w:spacing w:line="400" w:lineRule="exact"/>
              <w:jc w:val="left"/>
            </w:pPr>
            <w:r>
              <w:rPr>
                <w:rFonts w:hint="eastAsia" w:ascii="宋体" w:hAnsi="宋体"/>
                <w:color w:val="000000" w:themeColor="text1"/>
                <w:szCs w:val="21"/>
                <w14:textFill>
                  <w14:solidFill>
                    <w14:schemeClr w14:val="tx1"/>
                  </w14:solidFill>
                </w14:textFill>
              </w:rPr>
              <w:t>2.职业西裤黑色，中腰，直筒型。面料成份：聚酯纤维</w:t>
            </w:r>
          </w:p>
        </w:tc>
        <w:tc>
          <w:tcPr>
            <w:tcW w:w="411"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0</w:t>
            </w:r>
          </w:p>
        </w:tc>
        <w:tc>
          <w:tcPr>
            <w:tcW w:w="1425" w:type="dxa"/>
            <w:tcBorders>
              <w:tl2br w:val="nil"/>
              <w:tr2bl w:val="nil"/>
            </w:tcBorders>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1、安安科技——公里级智能预警管家</w:t>
            </w:r>
          </w:p>
          <w:p>
            <w:pPr>
              <w:widowControl/>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、银龄卫士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0" w:hRule="atLeast"/>
          <w:jc w:val="center"/>
        </w:trPr>
        <w:tc>
          <w:tcPr>
            <w:tcW w:w="430" w:type="dxa"/>
            <w:vMerge w:val="restart"/>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1110" w:type="dxa"/>
            <w:vMerge w:val="restart"/>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s="宋体"/>
                <w:sz w:val="24"/>
              </w:rPr>
              <w:t>项目指导</w:t>
            </w:r>
          </w:p>
        </w:tc>
        <w:tc>
          <w:tcPr>
            <w:tcW w:w="7158" w:type="dxa"/>
            <w:vMerge w:val="restart"/>
            <w:tcBorders>
              <w:tl2br w:val="nil"/>
              <w:tr2bl w:val="nil"/>
            </w:tcBorders>
            <w:shd w:val="clear" w:color="auto" w:fill="auto"/>
            <w:noWrap/>
          </w:tcPr>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1.线上项目内容辅导</w:t>
            </w:r>
          </w:p>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2.项目内容修改及打磨</w:t>
            </w:r>
          </w:p>
          <w:p>
            <w:pPr>
              <w:spacing w:line="40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3.团队路演及答辩辅导</w:t>
            </w:r>
          </w:p>
          <w:p>
            <w:pPr>
              <w:spacing w:line="400" w:lineRule="exact"/>
              <w:jc w:val="left"/>
            </w:pPr>
            <w:r>
              <w:rPr>
                <w:rFonts w:hint="eastAsia" w:ascii="宋体" w:hAnsi="宋体"/>
                <w:color w:val="000000" w:themeColor="text1"/>
                <w:szCs w:val="21"/>
                <w14:textFill>
                  <w14:solidFill>
                    <w14:schemeClr w14:val="tx1"/>
                  </w14:solidFill>
                </w14:textFill>
              </w:rPr>
              <w:t>4.项目策划书撰写辅导</w:t>
            </w:r>
          </w:p>
        </w:tc>
        <w:tc>
          <w:tcPr>
            <w:tcW w:w="411"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1425" w:type="dxa"/>
            <w:tcBorders>
              <w:tl2br w:val="nil"/>
              <w:tr2bl w:val="nil"/>
            </w:tcBorders>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获省级银奖，铜奖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0" w:hRule="atLeast"/>
          <w:jc w:val="center"/>
        </w:trPr>
        <w:tc>
          <w:tcPr>
            <w:tcW w:w="430" w:type="dxa"/>
            <w:vMerge w:val="continue"/>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p>
        </w:tc>
        <w:tc>
          <w:tcPr>
            <w:tcW w:w="1110" w:type="dxa"/>
            <w:vMerge w:val="continue"/>
            <w:tcBorders>
              <w:tl2br w:val="nil"/>
              <w:tr2bl w:val="nil"/>
            </w:tcBorders>
            <w:shd w:val="clear" w:color="auto" w:fill="auto"/>
            <w:noWrap/>
            <w:vAlign w:val="center"/>
          </w:tcPr>
          <w:p>
            <w:pPr>
              <w:widowControl/>
              <w:spacing w:line="400" w:lineRule="exact"/>
              <w:jc w:val="center"/>
              <w:rPr>
                <w:rFonts w:ascii="宋体" w:hAnsi="宋体" w:cs="宋体"/>
                <w:sz w:val="24"/>
              </w:rPr>
            </w:pPr>
          </w:p>
        </w:tc>
        <w:tc>
          <w:tcPr>
            <w:tcW w:w="7158" w:type="dxa"/>
            <w:vMerge w:val="continue"/>
            <w:tcBorders>
              <w:tl2br w:val="nil"/>
              <w:tr2bl w:val="nil"/>
            </w:tcBorders>
            <w:shd w:val="clear" w:color="auto" w:fill="auto"/>
            <w:noWrap/>
          </w:tcPr>
          <w:p>
            <w:pPr>
              <w:pStyle w:val="6"/>
              <w:spacing w:line="400" w:lineRule="exact"/>
              <w:ind w:left="360"/>
              <w:rPr>
                <w:rFonts w:ascii="宋体" w:hAnsi="宋体"/>
                <w:color w:val="000000" w:themeColor="text1"/>
                <w:szCs w:val="21"/>
                <w14:textFill>
                  <w14:solidFill>
                    <w14:schemeClr w14:val="tx1"/>
                  </w14:solidFill>
                </w14:textFill>
              </w:rPr>
            </w:pPr>
          </w:p>
        </w:tc>
        <w:tc>
          <w:tcPr>
            <w:tcW w:w="411" w:type="dxa"/>
            <w:tcBorders>
              <w:tl2br w:val="nil"/>
              <w:tr2bl w:val="nil"/>
            </w:tcBorders>
            <w:shd w:val="clear" w:color="auto" w:fill="auto"/>
            <w:noWrap/>
            <w:vAlign w:val="center"/>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1425" w:type="dxa"/>
            <w:tcBorders>
              <w:tl2br w:val="nil"/>
              <w:tr2bl w:val="nil"/>
            </w:tcBorders>
          </w:tcPr>
          <w:p>
            <w:pPr>
              <w:widowControl/>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获省级金奖</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426CC"/>
    <w:multiLevelType w:val="multilevel"/>
    <w:tmpl w:val="15D426CC"/>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B0323"/>
    <w:rsid w:val="3DFB0323"/>
    <w:rsid w:val="6FF4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toa heading1"/>
    <w:basedOn w:val="1"/>
    <w:next w:val="1"/>
    <w:qFormat/>
    <w:uiPriority w:val="0"/>
    <w:rPr>
      <w:rFonts w:ascii="Arial" w:hAnsi="Arial"/>
      <w:sz w:val="24"/>
    </w:rPr>
  </w:style>
  <w:style w:type="paragraph" w:styleId="3">
    <w:name w:val="Body Text"/>
    <w:basedOn w:val="1"/>
    <w:next w:val="1"/>
    <w:qFormat/>
    <w:uiPriority w:val="0"/>
    <w:pPr>
      <w:spacing w:after="120"/>
    </w:pPr>
  </w:style>
  <w:style w:type="paragraph" w:styleId="6">
    <w:name w:val="List Paragraph"/>
    <w:basedOn w:val="1"/>
    <w:qFormat/>
    <w:uiPriority w:val="0"/>
    <w:pPr>
      <w:widowControl/>
      <w:spacing w:after="200" w:line="276" w:lineRule="auto"/>
      <w:ind w:left="720"/>
      <w:jc w:val="left"/>
    </w:pPr>
    <w:rPr>
      <w:rFonts w:ascii="Calibri" w:hAnsi="Calibri"/>
      <w:kern w:val="0"/>
      <w:sz w:val="22"/>
      <w:szCs w:val="22"/>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2023-07-04T21:35:00Z</dcterms:created>
  <dc:creator>略微木讷丶</dc:creator>
  <cp:lastModifiedBy>略微木讷丶</cp:lastModifiedBy>
  <dcterms:modified xsi:type="dcterms:W3CDTF">2023-07-04T21:36:08Z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CC393D9CD49B546A2220A464C54849A7_41</vt:lpwstr>
  </property>
</Properties>
</file>